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footnotes.xml.rels" ContentType="application/vnd.openxmlformats-package.relationships+xml"/>
  <Override PartName="/word/_rels/document.xml.rels" ContentType="application/vnd.openxmlformats-package.relationships+xml"/>
  <Override PartName="/word/_rels/footer1.xml.rels" ContentType="application/vnd.openxmlformats-package.relationships+xml"/>
  <Override PartName="/word/_rels/header1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2.jpeg" ContentType="image/jpeg"/>
  <Override PartName="/word/media/image1.png" ContentType="image/png"/>
  <Override PartName="/word/header2.xml" ContentType="application/vnd.openxmlformats-officedocument.wordprocessingml.head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>
          <w:sz w:val="24"/>
          <w:szCs w:val="24"/>
          <w:lang w:val="bg-BG"/>
        </w:rPr>
      </w:pPr>
      <w:r>
        <w:rPr/>
      </w:r>
    </w:p>
    <w:p>
      <w:pPr>
        <w:pStyle w:val="Normal"/>
        <w:rPr>
          <w:b/>
          <w:b/>
          <w:bCs/>
          <w:i/>
          <w:i/>
          <w:iCs/>
          <w:sz w:val="20"/>
          <w:szCs w:val="20"/>
          <w:u w:val="single"/>
        </w:rPr>
      </w:pPr>
      <w:r>
        <w:rPr>
          <w:b/>
          <w:bCs/>
          <w:i/>
          <w:iCs/>
          <w:sz w:val="20"/>
          <w:szCs w:val="20"/>
          <w:u w:val="single"/>
          <w:lang w:val="bg-BG"/>
        </w:rPr>
        <w:t xml:space="preserve">Приложение 1 към становище </w:t>
      </w:r>
      <w:r>
        <w:rPr>
          <w:rFonts w:cs="Cambria" w:cstheme="minorHAnsi"/>
          <w:b/>
          <w:bCs/>
          <w:i/>
          <w:iCs/>
          <w:sz w:val="20"/>
          <w:szCs w:val="20"/>
          <w:u w:val="single"/>
          <w:lang w:val="bg-BG"/>
        </w:rPr>
        <w:t xml:space="preserve">Изх. № </w:t>
      </w:r>
      <w:r>
        <w:rPr>
          <w:rFonts w:cs="Cambria" w:cstheme="minorHAnsi"/>
          <w:b/>
          <w:bCs/>
          <w:i/>
          <w:iCs/>
          <w:sz w:val="20"/>
          <w:szCs w:val="20"/>
          <w:u w:val="single"/>
          <w:lang w:val="bg-BG"/>
        </w:rPr>
        <w:t>ЗЗ03-130</w:t>
      </w:r>
      <w:r>
        <w:rPr>
          <w:rFonts w:cs="Cambria" w:cstheme="minorHAnsi"/>
          <w:b/>
          <w:bCs/>
          <w:i/>
          <w:iCs/>
          <w:sz w:val="20"/>
          <w:szCs w:val="20"/>
          <w:u w:val="single"/>
          <w:lang w:val="bg-BG"/>
        </w:rPr>
        <w:t>/07.02.2022</w:t>
      </w:r>
    </w:p>
    <w:p>
      <w:pPr>
        <w:pStyle w:val="Normal"/>
        <w:rPr>
          <w:sz w:val="24"/>
          <w:szCs w:val="24"/>
          <w:lang w:val="bg-BG"/>
        </w:rPr>
      </w:pPr>
      <w:r>
        <w:rPr/>
      </w:r>
    </w:p>
    <w:p>
      <w:pPr>
        <w:pStyle w:val="Normal"/>
        <w:rPr>
          <w:b/>
          <w:b/>
          <w:bCs/>
        </w:rPr>
      </w:pPr>
      <w:r>
        <w:rPr>
          <w:b/>
          <w:bCs/>
          <w:sz w:val="24"/>
          <w:szCs w:val="24"/>
          <w:lang w:val="bg-BG"/>
        </w:rPr>
        <w:t xml:space="preserve">Относно: Становище за интервенция </w:t>
      </w:r>
      <w:r>
        <w:rPr>
          <w:rFonts w:cs="Calibri"/>
          <w:b/>
          <w:bCs/>
          <w:sz w:val="24"/>
          <w:szCs w:val="24"/>
          <w:lang w:val="bg-BG"/>
        </w:rPr>
        <w:t>Традиционни практики за сезонна паша (пасторализъм)</w:t>
      </w:r>
    </w:p>
    <w:p>
      <w:pPr>
        <w:pStyle w:val="Normal"/>
        <w:rPr/>
      </w:pPr>
      <w:r>
        <w:rPr>
          <w:sz w:val="24"/>
          <w:szCs w:val="24"/>
          <w:lang w:val="bg-BG"/>
        </w:rPr>
        <w:t xml:space="preserve">Настояваме </w:t>
      </w:r>
      <w:r>
        <w:rPr>
          <w:sz w:val="24"/>
          <w:szCs w:val="24"/>
        </w:rPr>
        <w:t xml:space="preserve">в </w:t>
      </w:r>
      <w:r>
        <w:rPr>
          <w:sz w:val="24"/>
          <w:szCs w:val="24"/>
          <w:lang w:val="bg-BG"/>
        </w:rPr>
        <w:t xml:space="preserve">интервенция </w:t>
      </w:r>
      <w:r>
        <w:rPr>
          <w:rFonts w:cs="Calibri"/>
          <w:b/>
          <w:sz w:val="24"/>
          <w:szCs w:val="24"/>
          <w:lang w:val="bg-BG"/>
        </w:rPr>
        <w:t>Традиционни практики за сезонна паша</w:t>
      </w:r>
      <w:r>
        <w:rPr>
          <w:rFonts w:cs="Calibri"/>
          <w:sz w:val="24"/>
          <w:szCs w:val="24"/>
          <w:lang w:val="bg-BG"/>
        </w:rPr>
        <w:t xml:space="preserve"> (пасторализъм) от тертиториалния обхват да отпаднат Националните паркове </w:t>
      </w:r>
      <w:r>
        <w:rPr>
          <w:rFonts w:cs="Calibri"/>
          <w:sz w:val="24"/>
          <w:szCs w:val="24"/>
          <w:lang w:val="bg-BG"/>
        </w:rPr>
        <w:t>със следните мотиви:</w:t>
      </w:r>
    </w:p>
    <w:p>
      <w:pPr>
        <w:pStyle w:val="Normal"/>
        <w:rPr>
          <w:b/>
          <w:b/>
          <w:bCs/>
        </w:rPr>
      </w:pPr>
      <w:r>
        <w:rPr>
          <w:rFonts w:cs="Calibri"/>
          <w:b/>
          <w:bCs/>
          <w:sz w:val="24"/>
          <w:szCs w:val="24"/>
          <w:lang w:val="bg-BG"/>
        </w:rPr>
        <w:t xml:space="preserve">I. </w:t>
      </w:r>
      <w:r>
        <w:rPr>
          <w:b/>
          <w:bCs/>
          <w:sz w:val="24"/>
          <w:szCs w:val="24"/>
          <w:lang w:val="bg-BG"/>
        </w:rPr>
        <w:t>О</w:t>
      </w:r>
      <w:r>
        <w:rPr>
          <w:b/>
          <w:bCs/>
          <w:sz w:val="24"/>
          <w:szCs w:val="24"/>
        </w:rPr>
        <w:t>писанията на дейностите по проекти финансирани по ОПОС</w:t>
      </w:r>
    </w:p>
    <w:p>
      <w:pPr>
        <w:pStyle w:val="Normal"/>
        <w:rPr/>
      </w:pPr>
      <w:r>
        <w:rPr>
          <w:sz w:val="24"/>
          <w:szCs w:val="24"/>
        </w:rPr>
        <w:t xml:space="preserve">на дирекциите на </w:t>
      </w:r>
      <w:r>
        <w:rPr>
          <w:b/>
          <w:sz w:val="24"/>
          <w:szCs w:val="24"/>
        </w:rPr>
        <w:t>НП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Пирин</w:t>
      </w:r>
      <w:r>
        <w:rPr>
          <w:sz w:val="24"/>
          <w:szCs w:val="24"/>
        </w:rPr>
        <w:t xml:space="preserve"> (</w:t>
      </w:r>
      <w:r>
        <w:rPr>
          <w:i/>
          <w:sz w:val="24"/>
          <w:szCs w:val="24"/>
        </w:rPr>
        <w:t>проект „</w:t>
      </w:r>
      <w:r>
        <w:rPr>
          <w:i/>
          <w:sz w:val="24"/>
          <w:szCs w:val="24"/>
          <w:highlight w:val="white"/>
        </w:rPr>
        <w:t>Подобряване на природозащитното състояние на видове и типове природни местообитания на територията на Защитена зона BG0000209 „Пирин” за опазване на природните местообитания и на дивата флора и фауна, включена в списъка, приет с Решение № 122/2007 г. на Министерския съвет (обн., ДВ, бр. 21/2007 г.)/защитена територия „Национален парк Пирин”</w:t>
      </w:r>
      <w:r>
        <w:rPr>
          <w:i/>
          <w:sz w:val="24"/>
          <w:szCs w:val="24"/>
        </w:rPr>
        <w:t>”, 2018-2023 г.</w:t>
      </w:r>
      <w:r>
        <w:rPr>
          <w:sz w:val="24"/>
          <w:szCs w:val="24"/>
        </w:rPr>
        <w:t xml:space="preserve">), </w:t>
      </w:r>
      <w:r>
        <w:rPr>
          <w:b/>
          <w:sz w:val="24"/>
          <w:szCs w:val="24"/>
        </w:rPr>
        <w:t>НП Рила</w:t>
      </w:r>
      <w:r>
        <w:rPr>
          <w:sz w:val="24"/>
          <w:szCs w:val="24"/>
        </w:rPr>
        <w:t xml:space="preserve"> (</w:t>
      </w:r>
      <w:r>
        <w:rPr>
          <w:i/>
          <w:sz w:val="24"/>
          <w:szCs w:val="24"/>
        </w:rPr>
        <w:t>проект „</w:t>
      </w:r>
      <w:r>
        <w:rPr>
          <w:i/>
          <w:sz w:val="24"/>
          <w:szCs w:val="24"/>
          <w:highlight w:val="white"/>
        </w:rPr>
        <w:t>Устойчиво управление на Национален парк "Рила" II-ра фаза</w:t>
      </w:r>
      <w:r>
        <w:rPr>
          <w:i/>
          <w:sz w:val="24"/>
          <w:szCs w:val="24"/>
        </w:rPr>
        <w:t>”, 2018-2023 г.</w:t>
      </w:r>
      <w:r>
        <w:rPr>
          <w:sz w:val="24"/>
          <w:szCs w:val="24"/>
        </w:rPr>
        <w:t xml:space="preserve">) и </w:t>
      </w:r>
      <w:r>
        <w:rPr>
          <w:b/>
          <w:sz w:val="24"/>
          <w:szCs w:val="24"/>
        </w:rPr>
        <w:t>НП Централен Балкан</w:t>
      </w:r>
      <w:r>
        <w:rPr>
          <w:sz w:val="24"/>
          <w:szCs w:val="24"/>
        </w:rPr>
        <w:t xml:space="preserve"> (</w:t>
      </w:r>
      <w:r>
        <w:rPr>
          <w:i/>
          <w:sz w:val="24"/>
          <w:szCs w:val="24"/>
        </w:rPr>
        <w:t>проект „</w:t>
      </w:r>
      <w:r>
        <w:rPr>
          <w:i/>
          <w:sz w:val="24"/>
          <w:szCs w:val="24"/>
          <w:highlight w:val="white"/>
        </w:rPr>
        <w:t>Възстановяване и опазване на природни местообитания и видове в Национален парк "Централен Балкан", 2018-2023 г.</w:t>
      </w:r>
      <w:r>
        <w:rPr>
          <w:sz w:val="24"/>
          <w:szCs w:val="24"/>
        </w:rPr>
        <w:t>)</w:t>
      </w:r>
      <w:r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ясно сефинират </w:t>
      </w:r>
      <w:r>
        <w:rPr>
          <w:b/>
          <w:bCs/>
          <w:sz w:val="24"/>
          <w:szCs w:val="24"/>
        </w:rPr>
        <w:t>проблема, който пашуването на домашни животни в защитените местообитания създава</w:t>
      </w:r>
      <w:r>
        <w:rPr>
          <w:sz w:val="24"/>
          <w:szCs w:val="24"/>
        </w:rPr>
        <w:t xml:space="preserve">. </w:t>
      </w:r>
    </w:p>
    <w:p>
      <w:pPr>
        <w:sectPr>
          <w:headerReference w:type="default" r:id="rId2"/>
          <w:footerReference w:type="default" r:id="rId3"/>
          <w:footnotePr>
            <w:numFmt w:val="decimal"/>
          </w:footnotePr>
          <w:type w:val="nextPage"/>
          <w:pgSz w:w="12240" w:h="15840"/>
          <w:pgMar w:left="720" w:right="720" w:header="540" w:top="720" w:footer="630" w:bottom="720" w:gutter="0"/>
          <w:pgNumType w:start="1" w:fmt="decimal"/>
          <w:formProt w:val="false"/>
          <w:textDirection w:val="lrTb"/>
          <w:docGrid w:type="default" w:linePitch="299" w:charSpace="4096"/>
        </w:sectPr>
        <w:pStyle w:val="Normal"/>
        <w:numPr>
          <w:ilvl w:val="0"/>
          <w:numId w:val="1"/>
        </w:numPr>
        <w:pBdr/>
        <w:spacing w:lineRule="auto" w:line="240" w:before="280" w:after="280"/>
        <w:jc w:val="both"/>
        <w:rPr/>
      </w:pPr>
      <w:r>
        <w:rPr>
          <w:color w:val="000000"/>
          <w:sz w:val="24"/>
          <w:szCs w:val="24"/>
        </w:rPr>
        <w:t xml:space="preserve">В </w:t>
      </w:r>
      <w:r>
        <w:rPr>
          <w:b/>
          <w:color w:val="000000"/>
          <w:sz w:val="24"/>
          <w:szCs w:val="24"/>
        </w:rPr>
        <w:t>защитена зона BG0000209 Пирин</w:t>
      </w:r>
      <w:r>
        <w:rPr>
          <w:color w:val="000000"/>
          <w:sz w:val="24"/>
          <w:szCs w:val="24"/>
        </w:rPr>
        <w:t xml:space="preserve"> е установено </w:t>
      </w:r>
      <w:r>
        <w:rPr>
          <w:b/>
          <w:color w:val="000000"/>
          <w:sz w:val="24"/>
          <w:szCs w:val="24"/>
        </w:rPr>
        <w:t>отрицателно въздействие</w:t>
      </w:r>
      <w:r>
        <w:rPr>
          <w:color w:val="000000"/>
          <w:sz w:val="24"/>
          <w:szCs w:val="24"/>
        </w:rPr>
        <w:t xml:space="preserve"> на финансираните от подмярката Пасторализъм дейности върху </w:t>
      </w:r>
      <w:r>
        <w:rPr>
          <w:i/>
          <w:color w:val="000000"/>
          <w:sz w:val="24"/>
          <w:szCs w:val="24"/>
        </w:rPr>
        <w:t>местообитание 3130 - Олиготрофни до мезотрофни стоящи води с растителност от Littorelleteauniflorae и/или Isoeto-Nanojuncetea) и местообитание 3160 -Естествени дистрофни езера</w:t>
      </w:r>
      <w:r>
        <w:rPr>
          <w:color w:val="000000"/>
          <w:sz w:val="24"/>
          <w:szCs w:val="24"/>
        </w:rPr>
        <w:t xml:space="preserve">. Местообитанията са застрашени от наблюдавани </w:t>
      </w:r>
      <w:r>
        <w:rPr>
          <w:b/>
          <w:color w:val="000000"/>
          <w:sz w:val="24"/>
          <w:szCs w:val="24"/>
        </w:rPr>
        <w:t>процеси на  повишена еутрофикация на езера</w:t>
      </w:r>
      <w:r>
        <w:rPr>
          <w:color w:val="000000"/>
          <w:sz w:val="24"/>
          <w:szCs w:val="24"/>
        </w:rPr>
        <w:t xml:space="preserve"> на територията на НП Пирин, поради вток на биогенни елементи, ерозия и разрушаване на бреговете и намаляване прозрачността на водите. Засегнатите природни местообитания са от типа 3130 Олиготрофни до мезотрофни стоящи води с растителност от типа Littorelleteaunifflorae и/или Isoeto-Nanojuncetea (с оценка по критерий 3 „</w:t>
      </w:r>
      <w:r>
        <w:rPr>
          <w:b/>
          <w:color w:val="000000"/>
          <w:sz w:val="24"/>
          <w:szCs w:val="24"/>
        </w:rPr>
        <w:t>неблагоприятно-незадоволително състояние</w:t>
      </w:r>
      <w:r>
        <w:rPr>
          <w:color w:val="000000"/>
          <w:sz w:val="24"/>
          <w:szCs w:val="24"/>
        </w:rPr>
        <w:t>“) и 3160 - Естествени дистрофни езера (с оценка по критерии 2 и 3 „</w:t>
      </w:r>
      <w:r>
        <w:rPr>
          <w:b/>
          <w:color w:val="000000"/>
          <w:sz w:val="24"/>
          <w:szCs w:val="24"/>
        </w:rPr>
        <w:t>неблагоприятно-незадоволително състояние</w:t>
      </w:r>
      <w:r>
        <w:rPr>
          <w:color w:val="000000"/>
          <w:sz w:val="24"/>
          <w:szCs w:val="24"/>
        </w:rPr>
        <w:t>“). Дирекцията на НП Пирин идентифицира  </w:t>
      </w:r>
      <w:r>
        <w:rPr>
          <w:b/>
          <w:color w:val="000000"/>
          <w:sz w:val="24"/>
          <w:szCs w:val="24"/>
        </w:rPr>
        <w:t>причините за  това в пашуването на стада от едри породи крави край бреговете на езерата</w:t>
      </w:r>
      <w:r>
        <w:rPr>
          <w:color w:val="000000"/>
          <w:sz w:val="24"/>
          <w:szCs w:val="24"/>
        </w:rPr>
        <w:t xml:space="preserve">. В резултат от това бреговата ивица в различна степен и участъци е променена, тъй като животните прекарват часове наред край бреговете или във водата. Като резултат от тези негативни влияния в част от езерата се наблюдават </w:t>
      </w:r>
      <w:r>
        <w:rPr>
          <w:b/>
          <w:color w:val="000000"/>
          <w:sz w:val="24"/>
          <w:szCs w:val="24"/>
        </w:rPr>
        <w:t>сукцесионни процеси на изплитняване и заблатяване</w:t>
      </w:r>
      <w:r>
        <w:rPr>
          <w:color w:val="000000"/>
          <w:sz w:val="24"/>
          <w:szCs w:val="24"/>
        </w:rPr>
        <w:t>.</w:t>
      </w:r>
      <w:r>
        <w:rPr>
          <w:rStyle w:val="FootnoteAnchor"/>
          <w:color w:val="000000"/>
          <w:sz w:val="24"/>
          <w:szCs w:val="24"/>
          <w:vertAlign w:val="superscript"/>
        </w:rPr>
        <w:footnoteReference w:id="2"/>
      </w:r>
    </w:p>
    <w:p>
      <w:pPr>
        <w:pStyle w:val="Normal"/>
        <w:numPr>
          <w:ilvl w:val="0"/>
          <w:numId w:val="1"/>
        </w:numPr>
        <w:pBdr/>
        <w:spacing w:lineRule="auto" w:line="240" w:before="280" w:after="280"/>
        <w:jc w:val="both"/>
        <w:rPr/>
      </w:pPr>
      <w:r>
        <w:rPr>
          <w:color w:val="000000"/>
          <w:sz w:val="24"/>
          <w:szCs w:val="24"/>
        </w:rPr>
        <w:t xml:space="preserve">Пашата оказва </w:t>
      </w:r>
      <w:r>
        <w:rPr>
          <w:b/>
          <w:color w:val="000000"/>
          <w:sz w:val="24"/>
          <w:szCs w:val="24"/>
        </w:rPr>
        <w:t>негативно влияние</w:t>
      </w:r>
      <w:r>
        <w:rPr>
          <w:color w:val="000000"/>
          <w:sz w:val="24"/>
          <w:szCs w:val="24"/>
        </w:rPr>
        <w:t xml:space="preserve"> и в </w:t>
      </w:r>
      <w:r>
        <w:rPr>
          <w:b/>
          <w:color w:val="000000"/>
          <w:sz w:val="24"/>
          <w:szCs w:val="24"/>
        </w:rPr>
        <w:t>НП Рила</w:t>
      </w:r>
      <w:r>
        <w:rPr>
          <w:color w:val="000000"/>
          <w:sz w:val="24"/>
          <w:szCs w:val="24"/>
        </w:rPr>
        <w:t xml:space="preserve"> върху разпространението на </w:t>
      </w:r>
      <w:r>
        <w:rPr>
          <w:i/>
          <w:color w:val="000000"/>
          <w:sz w:val="24"/>
          <w:szCs w:val="24"/>
        </w:rPr>
        <w:t>балканска дива коза</w:t>
      </w:r>
      <w:r>
        <w:rPr>
          <w:color w:val="000000"/>
          <w:sz w:val="24"/>
          <w:szCs w:val="24"/>
        </w:rPr>
        <w:t xml:space="preserve">, </w:t>
      </w:r>
      <w:r>
        <w:rPr>
          <w:i/>
          <w:color w:val="000000"/>
          <w:sz w:val="24"/>
          <w:szCs w:val="24"/>
        </w:rPr>
        <w:t>1371 Rupicapra rupicapra balcanica</w:t>
      </w:r>
      <w:r>
        <w:rPr>
          <w:color w:val="000000"/>
          <w:sz w:val="24"/>
          <w:szCs w:val="24"/>
        </w:rPr>
        <w:t xml:space="preserve"> в природните й местообитания в</w:t>
      </w:r>
      <w:r>
        <w:rPr>
          <w:i/>
          <w:color w:val="000000"/>
          <w:sz w:val="24"/>
          <w:szCs w:val="24"/>
        </w:rPr>
        <w:t xml:space="preserve"> защитена зона BG0000495 Рила</w:t>
      </w:r>
      <w:r>
        <w:rPr>
          <w:color w:val="000000"/>
          <w:sz w:val="24"/>
          <w:szCs w:val="24"/>
        </w:rPr>
        <w:t xml:space="preserve">. От 2000 г. до 2017 г. Дирекция „Национален парк Рила“ събира, обобщава и анализира данни за относителната численост и разпространение на популацията на вида </w:t>
      </w:r>
      <w:r>
        <w:rPr>
          <w:i/>
          <w:color w:val="000000"/>
          <w:sz w:val="24"/>
          <w:szCs w:val="24"/>
        </w:rPr>
        <w:t xml:space="preserve">1371 Rupicapra rupicapra balcanica /Балканска дива коза/ </w:t>
      </w:r>
      <w:r>
        <w:rPr>
          <w:color w:val="000000"/>
          <w:sz w:val="24"/>
          <w:szCs w:val="24"/>
        </w:rPr>
        <w:t xml:space="preserve">на територията на Национален парк „Рила“. Анализът показва тенденция на сравнително бавно нарастване и заемане на подходящи местообитания от вида, като до момента не е достигнато оптимално състояние на стабилност. </w:t>
      </w:r>
      <w:r>
        <w:rPr>
          <w:b/>
          <w:color w:val="000000"/>
          <w:sz w:val="24"/>
          <w:szCs w:val="24"/>
        </w:rPr>
        <w:t>Същевременно, на територията на парка е разрешено пашуване в определени територии. Често тези територии се използват и от дивата коза, което влошава нейното състояние. На този етап парковата администрация не разполага с достатъчно информация, за да прецени кои от местообитанията са най-предпочитани от дивата коза, за да ограничи пашуването в тях</w:t>
      </w:r>
      <w:r>
        <w:rPr>
          <w:color w:val="000000"/>
          <w:sz w:val="24"/>
          <w:szCs w:val="24"/>
        </w:rPr>
        <w:t>.</w:t>
      </w:r>
      <w:r>
        <w:rPr>
          <w:rStyle w:val="FootnoteAnchor"/>
          <w:color w:val="000000"/>
          <w:sz w:val="24"/>
          <w:szCs w:val="24"/>
          <w:vertAlign w:val="superscript"/>
        </w:rPr>
        <w:footnoteReference w:id="3"/>
      </w:r>
      <w:r>
        <w:rPr>
          <w:color w:val="000000"/>
          <w:sz w:val="24"/>
          <w:szCs w:val="24"/>
        </w:rPr>
        <w:t xml:space="preserve"> В проекта  е предвидено поставяне на нашийници за многократна употреба, на отделни екземпляри от дива коза и инсталиране на фотокапани, с цел да се проследи движението им на територията на парка и на тази база да се установят местообитания, които са предпочитани за паша. За проследяване на ефекта от прилагането на тази консервационна мярка е предвидено и текущо наблюдение на определените местообитания. </w:t>
      </w:r>
    </w:p>
    <w:p>
      <w:pPr>
        <w:pStyle w:val="Normal"/>
        <w:numPr>
          <w:ilvl w:val="0"/>
          <w:numId w:val="1"/>
        </w:numPr>
        <w:pBdr/>
        <w:spacing w:lineRule="auto" w:line="240" w:before="280" w:after="280"/>
        <w:jc w:val="both"/>
        <w:rPr/>
      </w:pPr>
      <w:r>
        <w:rPr>
          <w:color w:val="000000"/>
          <w:sz w:val="24"/>
          <w:szCs w:val="24"/>
        </w:rPr>
        <w:t>Така също, съгласно доклада за дивата коза (</w:t>
      </w:r>
      <w:r>
        <w:rPr>
          <w:i/>
          <w:color w:val="000000"/>
          <w:sz w:val="24"/>
          <w:szCs w:val="24"/>
        </w:rPr>
        <w:t>Rupicapra rupicapra balcanica</w:t>
      </w:r>
      <w:r>
        <w:rPr>
          <w:color w:val="000000"/>
          <w:sz w:val="24"/>
          <w:szCs w:val="24"/>
        </w:rPr>
        <w:t>)</w:t>
      </w:r>
      <w:r>
        <w:rPr>
          <w:rStyle w:val="FootnoteAnchor"/>
          <w:color w:val="000000"/>
          <w:sz w:val="24"/>
          <w:szCs w:val="24"/>
          <w:vertAlign w:val="superscript"/>
        </w:rPr>
        <w:footnoteReference w:id="4"/>
      </w:r>
      <w:r>
        <w:rPr>
          <w:color w:val="000000"/>
          <w:sz w:val="24"/>
          <w:szCs w:val="24"/>
        </w:rPr>
        <w:t xml:space="preserve">, публикуван в Информационната система за защитените зони от екологичната мрежа Натура 2000, за Защитена зона BG0000495 Рила е посочено, че </w:t>
      </w:r>
      <w:r>
        <w:rPr>
          <w:b/>
          <w:color w:val="000000"/>
          <w:sz w:val="24"/>
          <w:szCs w:val="24"/>
        </w:rPr>
        <w:t xml:space="preserve">отрицателно въздействие върху състоянието на вида </w:t>
      </w:r>
      <w:r>
        <w:rPr>
          <w:i/>
          <w:color w:val="000000"/>
          <w:sz w:val="24"/>
          <w:szCs w:val="24"/>
        </w:rPr>
        <w:t>(Rupicapra rupicapra balcanica</w:t>
      </w:r>
      <w:r>
        <w:rPr>
          <w:b/>
          <w:color w:val="000000"/>
          <w:sz w:val="24"/>
          <w:szCs w:val="24"/>
        </w:rPr>
        <w:t>) оказва пашата на домашни животни</w:t>
      </w:r>
      <w:r>
        <w:rPr>
          <w:color w:val="000000"/>
          <w:sz w:val="24"/>
          <w:szCs w:val="24"/>
        </w:rPr>
        <w:t xml:space="preserve">. В доклада е направена препоръка за ограничаване пашата на домашни животни в ключовите местообитания на вида, чрез </w:t>
      </w:r>
      <w:r>
        <w:rPr>
          <w:b/>
          <w:color w:val="000000"/>
          <w:sz w:val="24"/>
          <w:szCs w:val="24"/>
        </w:rPr>
        <w:t>създаване на мрежа от свободни от паша територии, като приоритетно се изберат такива, които са отдалечени от туристически хижи, спортни съоръжения и най-интензивно ползваните туристически маршрути</w:t>
      </w:r>
      <w:r>
        <w:rPr>
          <w:color w:val="000000"/>
          <w:sz w:val="24"/>
          <w:szCs w:val="24"/>
        </w:rPr>
        <w:t>.</w:t>
      </w:r>
    </w:p>
    <w:p>
      <w:pPr>
        <w:pStyle w:val="Normal"/>
        <w:numPr>
          <w:ilvl w:val="0"/>
          <w:numId w:val="1"/>
        </w:numPr>
        <w:pBdr/>
        <w:spacing w:lineRule="auto" w:line="240" w:before="280" w:after="280"/>
        <w:jc w:val="both"/>
        <w:rPr/>
      </w:pPr>
      <w:r>
        <w:rPr>
          <w:color w:val="000000"/>
          <w:sz w:val="24"/>
          <w:szCs w:val="24"/>
        </w:rPr>
        <w:t>Пашата (заемаща 45% от най-значимите човешки дейности спомогнали за антропогенната ерозия)</w:t>
      </w:r>
      <w:r>
        <w:rPr>
          <w:rStyle w:val="FootnoteAnchor"/>
          <w:sz w:val="24"/>
          <w:szCs w:val="24"/>
          <w:vertAlign w:val="superscript"/>
        </w:rPr>
        <w:footnoteReference w:id="5"/>
      </w:r>
      <w:r>
        <w:rPr>
          <w:color w:val="000000"/>
          <w:sz w:val="24"/>
          <w:szCs w:val="24"/>
        </w:rPr>
        <w:t xml:space="preserve">  в </w:t>
      </w:r>
      <w:r>
        <w:rPr>
          <w:b/>
          <w:color w:val="000000"/>
          <w:sz w:val="24"/>
          <w:szCs w:val="24"/>
        </w:rPr>
        <w:t>НП Централен Балкан</w:t>
      </w:r>
      <w:r>
        <w:rPr>
          <w:color w:val="000000"/>
          <w:sz w:val="24"/>
          <w:szCs w:val="24"/>
        </w:rPr>
        <w:t xml:space="preserve"> оказва негативно влияние върху природозащитното състояние  на следните защитени местообитания:</w:t>
      </w:r>
    </w:p>
    <w:p>
      <w:pPr>
        <w:pStyle w:val="Normal"/>
        <w:numPr>
          <w:ilvl w:val="0"/>
          <w:numId w:val="2"/>
        </w:numPr>
        <w:pBdr/>
        <w:spacing w:lineRule="auto" w:line="240" w:before="280" w:after="0"/>
        <w:jc w:val="both"/>
        <w:rPr/>
      </w:pPr>
      <w:r>
        <w:rPr>
          <w:i/>
          <w:color w:val="000000"/>
          <w:sz w:val="24"/>
          <w:szCs w:val="24"/>
        </w:rPr>
        <w:t>9150 Термофилни букови гори, 9130 Букови гори от типа Asperulo-Fagetum, 9110 Букови гори от типа Luzulo-Fagetum</w:t>
      </w:r>
      <w:r>
        <w:rPr>
          <w:color w:val="000000"/>
          <w:sz w:val="24"/>
          <w:szCs w:val="24"/>
        </w:rPr>
        <w:t xml:space="preserve">   - </w:t>
      </w:r>
      <w:r>
        <w:rPr>
          <w:b/>
          <w:color w:val="000000"/>
          <w:sz w:val="24"/>
          <w:szCs w:val="24"/>
        </w:rPr>
        <w:t>Засиленият интерес към пасищата</w:t>
      </w:r>
      <w:r>
        <w:rPr>
          <w:color w:val="000000"/>
          <w:sz w:val="24"/>
          <w:szCs w:val="24"/>
        </w:rPr>
        <w:t xml:space="preserve"> в резултат на прилагане на направление „Традиционни практики за сезонна паша“ (Пасторализъм), мярка 214/мярка 10 от Програмата за развитие на селските райони 2014-2020 наред с осигуряването на пашуващи животни за поддържане на биологичното разнообразие, </w:t>
      </w:r>
      <w:r>
        <w:rPr>
          <w:b/>
          <w:color w:val="000000"/>
          <w:sz w:val="24"/>
          <w:szCs w:val="24"/>
        </w:rPr>
        <w:t>оказва и негативно влияние</w:t>
      </w:r>
      <w:r>
        <w:rPr>
          <w:color w:val="000000"/>
          <w:sz w:val="24"/>
          <w:szCs w:val="24"/>
        </w:rPr>
        <w:t xml:space="preserve">.  Свободно пашуващите животни навлизат в забранени за паша територии - резервати, горски територии и др. </w:t>
      </w:r>
      <w:r>
        <w:rPr>
          <w:b/>
          <w:color w:val="000000"/>
          <w:sz w:val="24"/>
          <w:szCs w:val="24"/>
        </w:rPr>
        <w:t>Постоянното навлизане на домашни животни в горските местообитания води до тяхната фрагментация, обедняване на тревния състав, механични повреди, утъпкване, системно замърсяване на питейни водоизточници, безпокойство на дивите животни и др</w:t>
      </w:r>
      <w:r>
        <w:rPr>
          <w:color w:val="000000"/>
          <w:sz w:val="24"/>
          <w:szCs w:val="24"/>
        </w:rPr>
        <w:t>.</w:t>
      </w:r>
    </w:p>
    <w:p>
      <w:pPr>
        <w:pStyle w:val="Normal"/>
        <w:numPr>
          <w:ilvl w:val="0"/>
          <w:numId w:val="2"/>
        </w:numPr>
        <w:pBdr/>
        <w:spacing w:lineRule="auto" w:line="240" w:before="0" w:after="0"/>
        <w:jc w:val="both"/>
        <w:rPr/>
      </w:pPr>
      <w:r>
        <w:rPr>
          <w:i/>
          <w:color w:val="000000"/>
          <w:sz w:val="24"/>
          <w:szCs w:val="24"/>
        </w:rPr>
        <w:t xml:space="preserve">7140 Преходни блата и плаващи подвижни торфища </w:t>
      </w:r>
      <w:r>
        <w:rPr>
          <w:color w:val="000000"/>
          <w:sz w:val="24"/>
          <w:szCs w:val="24"/>
        </w:rPr>
        <w:t>-  </w:t>
      </w:r>
      <w:r>
        <w:rPr>
          <w:b/>
          <w:color w:val="000000"/>
          <w:sz w:val="24"/>
          <w:szCs w:val="24"/>
        </w:rPr>
        <w:t>Над 90% от находищата на целевото природно местообитание са обект на интензивна паша, което води до промяна на хидрологичния режим, преизпасване и отъпкване на индикаторните за местообитанието видове</w:t>
      </w:r>
      <w:r>
        <w:rPr>
          <w:color w:val="000000"/>
          <w:sz w:val="24"/>
          <w:szCs w:val="24"/>
        </w:rPr>
        <w:t xml:space="preserve">. Наблюдава се смяна на видовия състав и изчезване на редица редки и ендемични видове висши растения. Като вторични негативни влияния са изтощаване на хумусния слой, уплътняване на почвата и повишаване на повърхностния оток, който предизвиква ерозия и др. Състоянието на местообитание 7140 в защитена зона BG0000494 „Централен Балкан” по параметри интензивност на пашата, заемана площ и битово и промишлено замърсяване е оценено като </w:t>
      </w:r>
      <w:r>
        <w:rPr>
          <w:b/>
          <w:color w:val="000000"/>
          <w:sz w:val="24"/>
          <w:szCs w:val="24"/>
        </w:rPr>
        <w:t>„неблагоприятно лошо“</w:t>
      </w:r>
      <w:r>
        <w:rPr>
          <w:color w:val="000000"/>
          <w:sz w:val="24"/>
          <w:szCs w:val="24"/>
        </w:rPr>
        <w:t xml:space="preserve"> (Доклад за Разпространение и оценка на природозащитното състояние в ЗЗ BG0000494).</w:t>
      </w:r>
    </w:p>
    <w:p>
      <w:pPr>
        <w:pStyle w:val="Normal"/>
        <w:numPr>
          <w:ilvl w:val="0"/>
          <w:numId w:val="2"/>
        </w:numPr>
        <w:pBdr/>
        <w:spacing w:lineRule="auto" w:line="240" w:before="0" w:after="280"/>
        <w:jc w:val="both"/>
        <w:rPr/>
      </w:pPr>
      <w:r>
        <w:rPr>
          <w:i/>
          <w:color w:val="000000"/>
          <w:sz w:val="24"/>
          <w:szCs w:val="24"/>
        </w:rPr>
        <w:t>6230* Богати на видове картълови съобщества върху силикатен терен в планините, 6150 Силикатни алпийски и бореални тревни съобщества, 62D0 Оро-мизийски ацидофилни тревни съобщества, 6170 Алпийски и субалпийски варовикови тревни съобщества</w:t>
      </w:r>
      <w:r>
        <w:rPr>
          <w:color w:val="000000"/>
          <w:sz w:val="24"/>
          <w:szCs w:val="24"/>
        </w:rPr>
        <w:t>.</w:t>
      </w:r>
    </w:p>
    <w:p>
      <w:pPr>
        <w:pStyle w:val="Normal"/>
        <w:spacing w:before="280" w:after="280"/>
        <w:ind w:left="360" w:hanging="0"/>
        <w:jc w:val="both"/>
        <w:rPr/>
      </w:pPr>
      <w:r>
        <w:rPr>
          <w:b/>
          <w:sz w:val="24"/>
          <w:szCs w:val="24"/>
        </w:rPr>
        <w:t>II. Научни данни и препоръки</w:t>
      </w:r>
    </w:p>
    <w:p>
      <w:pPr>
        <w:pStyle w:val="Normal"/>
        <w:spacing w:before="280" w:after="280"/>
        <w:ind w:left="360" w:hanging="0"/>
        <w:jc w:val="both"/>
        <w:rPr>
          <w:sz w:val="24"/>
          <w:szCs w:val="24"/>
        </w:rPr>
      </w:pPr>
      <w:r>
        <w:rPr>
          <w:b/>
          <w:sz w:val="24"/>
          <w:szCs w:val="24"/>
        </w:rPr>
        <w:t>Увеличаването на домашните животни води до редица неблагоприятни въздействия върху целевите природни местообитания, сред които е и засилване на ерозионните процеси, увеличаване числеността на нитрофилни, рудерални видове растения и др.</w:t>
      </w:r>
    </w:p>
    <w:p>
      <w:pPr>
        <w:pStyle w:val="Normal"/>
        <w:spacing w:before="280" w:after="280"/>
        <w:ind w:left="360" w:hanging="0"/>
        <w:jc w:val="both"/>
        <w:rPr/>
      </w:pPr>
      <w:r>
        <w:rPr>
          <w:sz w:val="24"/>
          <w:szCs w:val="24"/>
        </w:rPr>
        <w:t>Тези отрицателни тенденции влошават състоянието на природните местообитания. Лимитиращ фактор за развитието на животновъдството във високата планина е наличието на вода. Поради липсата ѝ често домашните животни навлизат в горите. Системното навлизане на домашни животни в горите е отчетено като основна причина за неблагоприятно незадоволително природно състояние на природни местообитания: 9150 Термофилни букови гори (Cephalanthero-Fagion), 9110 Букови гори от типа Luzulo-Fagetum, 9130 Букови гори от типа Asperulo-Fagetum. Пашата в горите е ключов параметър за оценка на това състояние. Постоянното влошаване състоянието на изворите/чешмите в безлесната част на НПЦБ засилва този негативен процес."</w:t>
      </w:r>
      <w:r>
        <w:rPr>
          <w:sz w:val="24"/>
          <w:szCs w:val="24"/>
          <w:vertAlign w:val="superscript"/>
        </w:rPr>
        <w:t xml:space="preserve"> </w:t>
      </w:r>
      <w:r>
        <w:rPr>
          <w:rStyle w:val="FootnoteAnchor"/>
          <w:sz w:val="24"/>
          <w:szCs w:val="24"/>
          <w:vertAlign w:val="superscript"/>
        </w:rPr>
        <w:footnoteReference w:id="6"/>
      </w:r>
    </w:p>
    <w:p>
      <w:pPr>
        <w:pStyle w:val="Normal"/>
        <w:spacing w:before="0" w:after="0"/>
        <w:jc w:val="both"/>
        <w:rPr/>
      </w:pPr>
      <w:r>
        <w:rPr>
          <w:sz w:val="24"/>
          <w:szCs w:val="24"/>
          <w:highlight w:val="white"/>
        </w:rPr>
        <w:t>Доказателства за негативното влияние на подмярката в националните паркове има и в редица</w:t>
      </w:r>
      <w:r>
        <w:rPr>
          <w:sz w:val="24"/>
          <w:szCs w:val="24"/>
          <w:highlight w:val="white"/>
          <w:lang w:val="bg-BG"/>
        </w:rPr>
        <w:t xml:space="preserve"> </w:t>
      </w:r>
      <w:r>
        <w:rPr>
          <w:sz w:val="24"/>
          <w:szCs w:val="24"/>
          <w:highlight w:val="white"/>
        </w:rPr>
        <w:t xml:space="preserve">научни статии. В научната статията </w:t>
      </w:r>
      <w:r>
        <w:rPr>
          <w:i/>
          <w:sz w:val="24"/>
          <w:szCs w:val="24"/>
          <w:highlight w:val="white"/>
        </w:rPr>
        <w:t>Бъдещото на подмярка Пасторализъм 214 от Агроекологичните плащания в ПРСР: предимства, вреда и предизвикателства</w:t>
      </w:r>
      <w:r>
        <w:rPr>
          <w:rStyle w:val="FootnoteAnchor"/>
          <w:i/>
          <w:sz w:val="24"/>
          <w:szCs w:val="24"/>
          <w:highlight w:val="white"/>
          <w:vertAlign w:val="superscript"/>
        </w:rPr>
        <w:footnoteReference w:id="7"/>
      </w:r>
      <w:r>
        <w:rPr>
          <w:i/>
          <w:sz w:val="24"/>
          <w:szCs w:val="24"/>
          <w:highlight w:val="white"/>
        </w:rPr>
        <w:t xml:space="preserve"> (Гусев Ч., Р. Цонев и М. Димитров) </w:t>
      </w:r>
      <w:r>
        <w:rPr>
          <w:sz w:val="24"/>
          <w:szCs w:val="24"/>
          <w:highlight w:val="white"/>
        </w:rPr>
        <w:t>от 2016 г. се стига до заключението, че ако подмярката продължи да действа особено в националните паркове, то загубата на биоразнообразие ще е по-голяма, отколкото опазването й. Авторите твърдят, че алпийските и субалпийските първични пасища имат ниска продуктивност и в миналото са били подложени на сериозно преизпасване, което е довело до промяна на техния видов състав. По тази причина всяко пашуване с цел природозащита трябва да се провежда изключително внимателно. При проучвания в НП Централен Балкан те констатират, че има значително намаляване на популациите на някои видове растения (например Alchemilla achtarovii). Ограничените водни ресурси в НП Централен Балкан са една от причините за концентриране на животни около тях, което води до преизпасване, утъпкване и замърсяване на водите. Влиянието на пашата е толкова силно, че популациите на някои растения свързани с чувствителни местообитания са застрашени от пълно изчезване. По тази причина в националните паркове би било по- целесъобразно да се възстановяват стадата от диви копитни - елени, дива коза, европейски бизон, които да поддържат по по- природосъобразен начин пасищата.</w:t>
      </w:r>
    </w:p>
    <w:p>
      <w:pPr>
        <w:pStyle w:val="Normal"/>
        <w:spacing w:before="0" w:after="0"/>
        <w:jc w:val="both"/>
        <w:rPr>
          <w:sz w:val="24"/>
          <w:szCs w:val="24"/>
          <w:highlight w:val="white"/>
        </w:rPr>
      </w:pPr>
      <w:r>
        <w:rPr/>
      </w:r>
    </w:p>
    <w:p>
      <w:pPr>
        <w:pStyle w:val="Normal"/>
        <w:spacing w:before="0" w:after="0"/>
        <w:jc w:val="both"/>
        <w:rPr/>
      </w:pPr>
      <w:r>
        <w:rPr>
          <w:sz w:val="24"/>
          <w:szCs w:val="24"/>
          <w:highlight w:val="white"/>
        </w:rPr>
        <w:t xml:space="preserve">Авторите също препоръчват за в бъдеще </w:t>
      </w:r>
      <w:r>
        <w:rPr>
          <w:b/>
          <w:sz w:val="24"/>
          <w:szCs w:val="24"/>
          <w:highlight w:val="white"/>
        </w:rPr>
        <w:t>серия от практични стъпки като условие за пашуване в парковете</w:t>
      </w:r>
      <w:r>
        <w:rPr>
          <w:sz w:val="24"/>
          <w:szCs w:val="24"/>
          <w:highlight w:val="white"/>
        </w:rPr>
        <w:t>:</w:t>
      </w:r>
    </w:p>
    <w:p>
      <w:pPr>
        <w:pStyle w:val="Normal"/>
        <w:spacing w:before="0" w:after="0"/>
        <w:jc w:val="both"/>
        <w:rPr/>
      </w:pPr>
      <w:r>
        <w:rPr>
          <w:sz w:val="24"/>
          <w:szCs w:val="24"/>
          <w:highlight w:val="white"/>
        </w:rPr>
        <w:t xml:space="preserve">- </w:t>
      </w:r>
      <w:r>
        <w:rPr>
          <w:b/>
          <w:sz w:val="24"/>
          <w:szCs w:val="24"/>
          <w:highlight w:val="white"/>
        </w:rPr>
        <w:t>Идентифициране и картиране на растителните съобщества</w:t>
      </w:r>
      <w:r>
        <w:rPr>
          <w:sz w:val="24"/>
          <w:szCs w:val="24"/>
          <w:highlight w:val="white"/>
        </w:rPr>
        <w:t>, видовия им състав и екологичната структура на местообитанията, подлежащи на управление. Това е много важно за определяне на капацитета на пасищата, продължителност на време за паша, време за самовъзстановяване на общности и популации и др. местообитания и идентифициране на необходимостта и възможностите за подобряване на техния природозащитен статус.</w:t>
      </w:r>
    </w:p>
    <w:p>
      <w:pPr>
        <w:pStyle w:val="Normal"/>
        <w:spacing w:before="0" w:after="0"/>
        <w:jc w:val="both"/>
        <w:rPr/>
      </w:pPr>
      <w:r>
        <w:rPr>
          <w:sz w:val="24"/>
          <w:szCs w:val="24"/>
          <w:highlight w:val="white"/>
        </w:rPr>
        <w:t xml:space="preserve">- </w:t>
      </w:r>
      <w:r>
        <w:rPr>
          <w:b/>
          <w:sz w:val="24"/>
          <w:szCs w:val="24"/>
          <w:highlight w:val="white"/>
        </w:rPr>
        <w:t>Прецизна оценка на потенциалното въздействие на пашата</w:t>
      </w:r>
      <w:r>
        <w:rPr>
          <w:sz w:val="24"/>
          <w:szCs w:val="24"/>
          <w:highlight w:val="white"/>
        </w:rPr>
        <w:t>, пасищния капацитет и нивото на зоогенния натиск на домашните животни във всички територии, потенциално подходящи за опазване на пашата.</w:t>
      </w:r>
    </w:p>
    <w:p>
      <w:pPr>
        <w:pStyle w:val="Normal"/>
        <w:spacing w:before="0" w:after="0"/>
        <w:jc w:val="both"/>
        <w:rPr/>
      </w:pPr>
      <w:r>
        <w:rPr>
          <w:sz w:val="24"/>
          <w:szCs w:val="24"/>
          <w:highlight w:val="white"/>
        </w:rPr>
        <w:t xml:space="preserve">- </w:t>
      </w:r>
      <w:r>
        <w:rPr>
          <w:b/>
          <w:sz w:val="24"/>
          <w:szCs w:val="24"/>
          <w:highlight w:val="white"/>
        </w:rPr>
        <w:t>Определяне на оптималната интензивност на пашата, пасищните площи и периодите на пасищната схема.</w:t>
      </w:r>
      <w:r>
        <w:rPr>
          <w:sz w:val="24"/>
          <w:szCs w:val="24"/>
          <w:highlight w:val="white"/>
        </w:rPr>
        <w:t xml:space="preserve"> Крайните продукти трябва да бъдат комбинирани карти на видовете пасища и всички необходими пасищни особености, схеми и времена за паша, водоснабдяване и мерки за избягване на заплахи за популациите от уязвими растителни и животински видове.</w:t>
      </w:r>
    </w:p>
    <w:p>
      <w:pPr>
        <w:pStyle w:val="Normal"/>
        <w:spacing w:before="0" w:after="0"/>
        <w:jc w:val="both"/>
        <w:rPr/>
      </w:pPr>
      <w:r>
        <w:rPr>
          <w:sz w:val="24"/>
          <w:szCs w:val="24"/>
          <w:highlight w:val="white"/>
        </w:rPr>
        <w:t>И ако това не бъде направено, то се очаква да губим повече биоразнообразие от пасторализма, отколкото да печелим, коментират авторите.</w:t>
      </w:r>
    </w:p>
    <w:p>
      <w:pPr>
        <w:pStyle w:val="Normal"/>
        <w:spacing w:before="0" w:after="0"/>
        <w:jc w:val="both"/>
        <w:rPr>
          <w:sz w:val="24"/>
          <w:szCs w:val="24"/>
          <w:highlight w:val="white"/>
        </w:rPr>
      </w:pPr>
      <w:r>
        <w:rPr/>
      </w:r>
    </w:p>
    <w:p>
      <w:pPr>
        <w:pStyle w:val="Normal"/>
        <w:spacing w:before="0" w:after="0"/>
        <w:jc w:val="both"/>
        <w:rPr/>
      </w:pPr>
      <w:r>
        <w:rPr>
          <w:sz w:val="24"/>
          <w:szCs w:val="24"/>
          <w:highlight w:val="white"/>
        </w:rPr>
        <w:t xml:space="preserve">Същевременно </w:t>
      </w:r>
      <w:r>
        <w:rPr>
          <w:b/>
          <w:sz w:val="24"/>
          <w:szCs w:val="24"/>
          <w:highlight w:val="white"/>
        </w:rPr>
        <w:t>извън националните паркове, в равнините има много повече полуестествени пасища, които имат нужда от пашуване и, които подслоняват общности от свързани с пашуването видове</w:t>
      </w:r>
      <w:r>
        <w:rPr>
          <w:sz w:val="24"/>
          <w:szCs w:val="24"/>
          <w:highlight w:val="white"/>
        </w:rPr>
        <w:t>. Авторите предлагат пасторализма да се насочи към тях, където положителния ефект от него би бил много по- голям отколкото в планинските райони.</w:t>
      </w:r>
    </w:p>
    <w:p>
      <w:pPr>
        <w:pStyle w:val="Normal"/>
        <w:spacing w:before="0" w:after="0"/>
        <w:jc w:val="both"/>
        <w:rPr>
          <w:sz w:val="24"/>
          <w:szCs w:val="24"/>
          <w:highlight w:val="white"/>
        </w:rPr>
      </w:pPr>
      <w:r>
        <w:rPr/>
      </w:r>
    </w:p>
    <w:p>
      <w:pPr>
        <w:pStyle w:val="Normal"/>
        <w:spacing w:before="0" w:after="0"/>
        <w:jc w:val="both"/>
        <w:rPr/>
      </w:pPr>
      <w:r>
        <w:rPr>
          <w:sz w:val="24"/>
          <w:szCs w:val="24"/>
          <w:highlight w:val="white"/>
        </w:rPr>
        <w:t xml:space="preserve">При проучвания на две алпийски и субалпийски местоотбитания в </w:t>
      </w:r>
      <w:r>
        <w:rPr>
          <w:b/>
          <w:sz w:val="24"/>
          <w:szCs w:val="24"/>
          <w:highlight w:val="white"/>
        </w:rPr>
        <w:t>НП Пирин</w:t>
      </w:r>
      <w:r>
        <w:rPr>
          <w:sz w:val="24"/>
          <w:szCs w:val="24"/>
          <w:highlight w:val="white"/>
        </w:rPr>
        <w:t xml:space="preserve">: </w:t>
      </w:r>
      <w:r>
        <w:rPr>
          <w:i/>
          <w:sz w:val="24"/>
          <w:szCs w:val="24"/>
          <w:highlight w:val="white"/>
        </w:rPr>
        <w:t xml:space="preserve">6150 силикатни алпийски и бореални тревни съобщества </w:t>
      </w:r>
      <w:r>
        <w:rPr>
          <w:sz w:val="24"/>
          <w:szCs w:val="24"/>
          <w:highlight w:val="white"/>
        </w:rPr>
        <w:t xml:space="preserve">и </w:t>
      </w:r>
      <w:r>
        <w:rPr>
          <w:i/>
          <w:sz w:val="24"/>
          <w:szCs w:val="24"/>
          <w:highlight w:val="white"/>
        </w:rPr>
        <w:t>6170 Алпийски и субалпийски варовикови тревни съобщества</w:t>
      </w:r>
      <w:r>
        <w:rPr>
          <w:sz w:val="24"/>
          <w:szCs w:val="24"/>
          <w:highlight w:val="white"/>
        </w:rPr>
        <w:t xml:space="preserve"> Димитров и др. 2014 констатират, че 50 % от проучваните територии могат да се докладват като преизпасани. Също така пашата поставя във висок риск някои чувствителни местообитания като ледникови езера. Констатирано е и увеличение на някои нитрофилни видове като </w:t>
      </w:r>
      <w:r>
        <w:rPr>
          <w:i/>
          <w:sz w:val="24"/>
          <w:szCs w:val="24"/>
          <w:highlight w:val="white"/>
        </w:rPr>
        <w:t>Rumex alpinus, Chenopodium bonus-henricus</w:t>
      </w:r>
      <w:r>
        <w:rPr>
          <w:sz w:val="24"/>
          <w:szCs w:val="24"/>
          <w:highlight w:val="white"/>
        </w:rPr>
        <w:t xml:space="preserve"> и </w:t>
      </w:r>
      <w:r>
        <w:rPr>
          <w:i/>
          <w:sz w:val="24"/>
          <w:szCs w:val="24"/>
          <w:highlight w:val="white"/>
        </w:rPr>
        <w:t>Urtica dioica</w:t>
      </w:r>
      <w:r>
        <w:rPr>
          <w:sz w:val="24"/>
          <w:szCs w:val="24"/>
          <w:highlight w:val="white"/>
        </w:rPr>
        <w:t xml:space="preserve"> в преизпасваните територии на </w:t>
      </w:r>
      <w:r>
        <w:rPr>
          <w:b/>
          <w:sz w:val="24"/>
          <w:szCs w:val="24"/>
          <w:highlight w:val="white"/>
        </w:rPr>
        <w:t>НП Пирин</w:t>
      </w:r>
      <w:r>
        <w:rPr>
          <w:sz w:val="24"/>
          <w:szCs w:val="24"/>
          <w:highlight w:val="white"/>
        </w:rPr>
        <w:t xml:space="preserve">. Популационната структура на целия комплекс от редки и ендемични растителни видове може да се оцени като </w:t>
      </w:r>
      <w:r>
        <w:rPr>
          <w:b/>
          <w:sz w:val="24"/>
          <w:szCs w:val="24"/>
          <w:highlight w:val="white"/>
        </w:rPr>
        <w:t>потенциално увреден от преизпасване</w:t>
      </w:r>
      <w:r>
        <w:rPr>
          <w:sz w:val="24"/>
          <w:szCs w:val="24"/>
          <w:highlight w:val="white"/>
        </w:rPr>
        <w:t xml:space="preserve">. </w:t>
      </w:r>
    </w:p>
    <w:p>
      <w:pPr>
        <w:pStyle w:val="Normal"/>
        <w:spacing w:lineRule="auto" w:line="240" w:before="0" w:after="0"/>
        <w:rPr/>
      </w:pPr>
      <w:r>
        <w:rPr>
          <w:rFonts w:cs="Calibri"/>
          <w:sz w:val="24"/>
          <w:szCs w:val="24"/>
          <w:lang w:val="bg-BG"/>
        </w:rPr>
        <w:t xml:space="preserve">  </w:t>
      </w:r>
    </w:p>
    <w:sectPr>
      <w:headerReference w:type="default" r:id="rId4"/>
      <w:footerReference w:type="default" r:id="rId5"/>
      <w:footnotePr>
        <w:numFmt w:val="decimal"/>
      </w:footnotePr>
      <w:type w:val="nextPage"/>
      <w:pgSz w:w="12240" w:h="15840"/>
      <w:pgMar w:left="720" w:right="720" w:header="540" w:top="720" w:footer="720" w:bottom="1003" w:gutter="0"/>
      <w:pgNumType w:fmt="decimal"/>
      <w:formProt w:val="false"/>
      <w:textDirection w:val="lrTb"/>
      <w:docGrid w:type="default" w:linePitch="299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Georgia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auto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before="120" w:after="0"/>
      <w:jc w:val="center"/>
      <w:rPr/>
    </w:pPr>
    <w:r>
      <w:rPr>
        <w:rFonts w:eastAsia="Arial" w:cs="Arial" w:ascii="Arial" w:hAnsi="Arial"/>
        <w:i/>
        <w:color w:val="336699"/>
        <w:sz w:val="16"/>
        <w:szCs w:val="16"/>
      </w:rPr>
      <w:t xml:space="preserve">Проектът “Граждани и експерти за прилагане на зелените закони„ се изпълнява с финансовата подкрепа на Исландия, Лихтенщайн и Норвегия по линия на Финансовия механизъм на ЕИП. Основната цел на проекта е чрез повишаване на ангажираността на гражданите с околната среда и участието им при формулирането на политики да постигнем балансирано развитие и устойчиво използване на природните ресурси. </w:t>
    </w:r>
    <w:hyperlink r:id="rId1">
      <w:r>
        <w:rPr>
          <w:rStyle w:val="ListLabel29"/>
          <w:rFonts w:eastAsia="Arial" w:cs="Arial" w:ascii="Arial" w:hAnsi="Arial"/>
          <w:i/>
          <w:color w:val="336699"/>
          <w:sz w:val="20"/>
          <w:szCs w:val="20"/>
          <w:u w:val="single"/>
        </w:rPr>
        <w:t>www.activecitizensfund.bg</w:t>
      </w:r>
    </w:hyperlink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Normal"/>
        <w:pBdr/>
        <w:spacing w:lineRule="auto" w:line="240" w:before="0" w:after="0"/>
        <w:rPr/>
      </w:pPr>
      <w:r>
        <w:rPr>
          <w:rStyle w:val="FootnoteCharacters"/>
        </w:rPr>
        <w:footnoteRef/>
      </w:r>
      <w:r>
        <w:rPr>
          <w:vertAlign w:val="superscript"/>
        </w:rPr>
        <w:tab/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Описанието на вредното влияние на мярката 10.1.4.  Пасторализъм на ПРСР 2014-2020 в НП Пирин може да бъде намерено на </w:t>
      </w:r>
      <w:hyperlink r:id="rId1">
        <w:r>
          <w:rPr>
            <w:rStyle w:val="InternetLink"/>
            <w:color w:val="000000"/>
            <w:sz w:val="20"/>
            <w:szCs w:val="20"/>
          </w:rPr>
          <w:t>http://2020.eufunds.bg/bg/6/0/Project/Activities?contractId=VvFqysxSTNE%3D&amp;isHistoric=False</w:t>
        </w:r>
      </w:hyperlink>
      <w:hyperlink r:id="rId2">
        <w:r>
          <w:rPr>
            <w:color w:val="000000"/>
            <w:sz w:val="20"/>
            <w:szCs w:val="20"/>
          </w:rPr>
          <w:t xml:space="preserve"> </w:t>
        </w:r>
      </w:hyperlink>
    </w:p>
  </w:footnote>
  <w:footnote w:id="3">
    <w:p>
      <w:pPr>
        <w:pStyle w:val="Normal"/>
        <w:pBdr/>
        <w:spacing w:lineRule="auto" w:line="240" w:before="0" w:after="0"/>
        <w:rPr/>
      </w:pPr>
      <w:r>
        <w:rPr>
          <w:rStyle w:val="FootnoteCharacters"/>
        </w:rPr>
        <w:footnoteRef/>
      </w:r>
      <w:r>
        <w:rPr>
          <w:vertAlign w:val="superscript"/>
        </w:rPr>
        <w:tab/>
      </w:r>
      <w:r>
        <w:rPr>
          <w:color w:val="000000"/>
          <w:sz w:val="20"/>
          <w:szCs w:val="20"/>
        </w:rPr>
        <w:t xml:space="preserve"> </w:t>
      </w:r>
      <w:hyperlink r:id="rId3">
        <w:r>
          <w:rPr>
            <w:rStyle w:val="InternetLink"/>
            <w:color w:val="000000"/>
            <w:sz w:val="20"/>
            <w:szCs w:val="20"/>
          </w:rPr>
          <w:t>http://2020.eufunds.bg/bg/6/0/Project/Activities?contractId=UWvOZhWYQSA%3D&amp;isHistoric=False</w:t>
        </w:r>
      </w:hyperlink>
      <w:hyperlink r:id="rId4">
        <w:r>
          <w:rPr>
            <w:color w:val="000000"/>
            <w:sz w:val="20"/>
            <w:szCs w:val="20"/>
          </w:rPr>
          <w:t xml:space="preserve"> </w:t>
        </w:r>
      </w:hyperlink>
    </w:p>
  </w:footnote>
  <w:footnote w:id="4">
    <w:p>
      <w:pPr>
        <w:pStyle w:val="Normal"/>
        <w:pBdr/>
        <w:spacing w:lineRule="auto" w:line="240" w:before="0" w:after="0"/>
        <w:rPr/>
      </w:pPr>
      <w:r>
        <w:rPr>
          <w:rStyle w:val="FootnoteCharacters"/>
        </w:rPr>
        <w:footnoteRef/>
      </w:r>
      <w:r>
        <w:rPr>
          <w:vertAlign w:val="superscript"/>
        </w:rPr>
        <w:tab/>
      </w:r>
      <w:r>
        <w:rPr>
          <w:color w:val="000000"/>
          <w:sz w:val="20"/>
          <w:szCs w:val="20"/>
        </w:rPr>
        <w:t xml:space="preserve"> </w:t>
      </w:r>
      <w:hyperlink r:id="rId5">
        <w:r>
          <w:rPr>
            <w:rStyle w:val="InternetLink"/>
            <w:color w:val="000000"/>
            <w:sz w:val="20"/>
            <w:szCs w:val="20"/>
          </w:rPr>
          <w:t>http://natura2000.moew.government.bg/Home/ProtectedSite?code=BG0000495&amp;siteType=HabitatDirective</w:t>
        </w:r>
      </w:hyperlink>
      <w:hyperlink r:id="rId6">
        <w:r>
          <w:rPr>
            <w:color w:val="000000"/>
            <w:sz w:val="20"/>
            <w:szCs w:val="20"/>
          </w:rPr>
          <w:t xml:space="preserve"> </w:t>
        </w:r>
      </w:hyperlink>
    </w:p>
  </w:footnote>
  <w:footnote w:id="5">
    <w:p>
      <w:pPr>
        <w:pStyle w:val="Normal"/>
        <w:spacing w:lineRule="auto" w:line="240" w:before="0" w:after="0"/>
        <w:rPr/>
      </w:pPr>
      <w:r>
        <w:rPr>
          <w:rStyle w:val="FootnoteCharacters"/>
        </w:rPr>
        <w:footnoteRef/>
      </w:r>
      <w:r>
        <w:rPr>
          <w:vertAlign w:val="superscript"/>
        </w:rPr>
        <w:tab/>
      </w:r>
      <w:r>
        <w:rPr>
          <w:sz w:val="20"/>
          <w:szCs w:val="20"/>
        </w:rPr>
        <w:t xml:space="preserve"> </w:t>
      </w:r>
      <w:hyperlink r:id="rId7">
        <w:r>
          <w:rPr>
            <w:rStyle w:val="InternetLink"/>
            <w:sz w:val="20"/>
            <w:szCs w:val="20"/>
          </w:rPr>
          <w:t>http://2020.eufunds.bg/bg/6/0/Project/Activities?contractId=os9FVdXOc0w%3D&amp;isHistoric=False</w:t>
        </w:r>
      </w:hyperlink>
      <w:hyperlink r:id="rId8">
        <w:r>
          <w:rPr>
            <w:sz w:val="20"/>
            <w:szCs w:val="20"/>
          </w:rPr>
          <w:t xml:space="preserve"> </w:t>
        </w:r>
      </w:hyperlink>
    </w:p>
  </w:footnote>
  <w:footnote w:id="6">
    <w:p>
      <w:pPr>
        <w:pStyle w:val="Normal"/>
        <w:pBdr/>
        <w:spacing w:lineRule="auto" w:line="240" w:before="0" w:after="0"/>
        <w:rPr/>
      </w:pPr>
      <w:r>
        <w:rPr>
          <w:rStyle w:val="FootnoteCharacters"/>
        </w:rPr>
        <w:footnoteRef/>
      </w:r>
      <w:r>
        <w:rPr>
          <w:vertAlign w:val="superscript"/>
        </w:rPr>
        <w:tab/>
      </w:r>
      <w:r>
        <w:rPr>
          <w:color w:val="000000"/>
          <w:sz w:val="20"/>
          <w:szCs w:val="20"/>
        </w:rPr>
        <w:t xml:space="preserve"> </w:t>
      </w:r>
      <w:hyperlink r:id="rId9">
        <w:r>
          <w:rPr>
            <w:rStyle w:val="VisitedInternetLink"/>
            <w:color w:val="000000"/>
            <w:sz w:val="20"/>
            <w:szCs w:val="20"/>
          </w:rPr>
          <w:t>http://2020.eufunds.bg/bg/6/0/Project/Activities?contractId=os9FVdXOc0w%3D&amp;isHistoric=False</w:t>
        </w:r>
      </w:hyperlink>
      <w:hyperlink r:id="rId10">
        <w:r>
          <w:rPr>
            <w:color w:val="000000"/>
            <w:sz w:val="20"/>
            <w:szCs w:val="20"/>
          </w:rPr>
          <w:t xml:space="preserve"> </w:t>
        </w:r>
      </w:hyperlink>
    </w:p>
  </w:footnote>
  <w:footnote w:id="7">
    <w:p>
      <w:pPr>
        <w:pStyle w:val="Normal"/>
        <w:pBdr/>
        <w:spacing w:lineRule="auto" w:line="240" w:before="0" w:after="0"/>
        <w:rPr/>
      </w:pPr>
      <w:r>
        <w:rPr>
          <w:rStyle w:val="FootnoteCharacters"/>
        </w:rPr>
        <w:footnoteRef/>
      </w:r>
      <w:r>
        <w:rPr>
          <w:vertAlign w:val="superscript"/>
        </w:rPr>
        <w:tab/>
      </w:r>
      <w:r>
        <w:rPr>
          <w:color w:val="000000"/>
          <w:sz w:val="20"/>
          <w:szCs w:val="20"/>
        </w:rPr>
        <w:t xml:space="preserve"> </w:t>
      </w:r>
      <w:hyperlink r:id="rId11">
        <w:r>
          <w:rPr>
            <w:rStyle w:val="InternetLink"/>
            <w:color w:val="000000"/>
            <w:sz w:val="20"/>
            <w:szCs w:val="20"/>
          </w:rPr>
          <w:t>https://www.semanticscholar.org/paper/The-future-of-submeasure-%E2%80%9CPastoralism%E2%80%9D-of-Measure-Gussev-Tzonev/6f0bbc6bd4f8e1c91514a52bd65608b40bcf6381</w:t>
        </w:r>
      </w:hyperlink>
      <w:hyperlink r:id="rId12">
        <w:r>
          <w:rPr>
            <w:color w:val="000000"/>
            <w:sz w:val="20"/>
            <w:szCs w:val="20"/>
          </w:rPr>
          <w:t xml:space="preserve"> </w:t>
        </w:r>
      </w:hyperlink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Style w:val="a5"/>
      <w:tblW w:w="11009" w:type="dxa"/>
      <w:jc w:val="left"/>
      <w:tblInd w:w="0" w:type="dxa"/>
      <w:tblBorders/>
      <w:tblCellMar>
        <w:top w:w="0" w:type="dxa"/>
        <w:left w:w="108" w:type="dxa"/>
        <w:bottom w:w="0" w:type="dxa"/>
        <w:right w:w="108" w:type="dxa"/>
      </w:tblCellMar>
      <w:tblLook w:val="0000"/>
    </w:tblPr>
    <w:tblGrid>
      <w:gridCol w:w="5505"/>
      <w:gridCol w:w="5503"/>
    </w:tblGrid>
    <w:tr>
      <w:trPr>
        <w:trHeight w:val="1818" w:hRule="atLeast"/>
      </w:trPr>
      <w:tc>
        <w:tcPr>
          <w:tcW w:w="5505" w:type="dxa"/>
          <w:tcBorders/>
          <w:shd w:fill="auto" w:val="clear"/>
        </w:tcPr>
        <w:p>
          <w:pPr>
            <w:pStyle w:val="Normal"/>
            <w:pBdr/>
            <w:spacing w:before="0" w:after="200"/>
            <w:rPr>
              <w:color w:val="000000"/>
            </w:rPr>
          </w:pPr>
          <w:r>
            <w:rPr/>
            <w:drawing>
              <wp:inline distT="0" distB="0" distL="0" distR="0">
                <wp:extent cx="3355340" cy="1179830"/>
                <wp:effectExtent l="0" t="0" r="0" b="0"/>
                <wp:docPr id="1" name="image2.png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2.png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-9" t="-25" r="-9" b="-2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355340" cy="11798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03" w:type="dxa"/>
          <w:tcBorders/>
          <w:shd w:fill="auto" w:val="clear"/>
        </w:tcPr>
        <w:p>
          <w:pPr>
            <w:pStyle w:val="Normal"/>
            <w:pBdr/>
            <w:spacing w:lineRule="auto" w:line="240" w:before="0" w:after="0"/>
            <w:rPr>
              <w:rFonts w:ascii="Arial" w:hAnsi="Arial" w:eastAsia="Arial" w:cs="Arial"/>
              <w:b/>
              <w:b/>
              <w:color w:val="365F91"/>
              <w:sz w:val="20"/>
              <w:szCs w:val="20"/>
            </w:rPr>
          </w:pPr>
          <w:r>
            <w:rPr/>
          </w:r>
        </w:p>
        <w:p>
          <w:pPr>
            <w:pStyle w:val="Normal"/>
            <w:pBdr/>
            <w:spacing w:lineRule="auto" w:line="240" w:before="0" w:after="0"/>
            <w:rPr>
              <w:rFonts w:ascii="Arial" w:hAnsi="Arial" w:eastAsia="Arial" w:cs="Arial"/>
              <w:b/>
              <w:b/>
              <w:color w:val="365F91"/>
              <w:sz w:val="20"/>
              <w:szCs w:val="20"/>
            </w:rPr>
          </w:pPr>
          <w:r>
            <w:rPr/>
          </w:r>
        </w:p>
        <w:p>
          <w:pPr>
            <w:pStyle w:val="Normal"/>
            <w:pBdr/>
            <w:spacing w:lineRule="auto" w:line="240" w:before="0" w:after="0"/>
            <w:rPr>
              <w:rFonts w:ascii="Arial" w:hAnsi="Arial" w:eastAsia="Arial" w:cs="Arial"/>
              <w:b/>
              <w:b/>
              <w:color w:val="365F91"/>
              <w:sz w:val="20"/>
              <w:szCs w:val="20"/>
            </w:rPr>
          </w:pPr>
          <w:r>
            <w:rPr/>
          </w:r>
        </w:p>
        <w:p>
          <w:pPr>
            <w:pStyle w:val="Normal"/>
            <w:pBdr/>
            <w:spacing w:lineRule="auto" w:line="240" w:before="0" w:after="0"/>
            <w:rPr>
              <w:rFonts w:ascii="Arial" w:hAnsi="Arial" w:eastAsia="Arial" w:cs="Arial"/>
              <w:b/>
              <w:b/>
              <w:i/>
              <w:i/>
              <w:color w:val="365F91"/>
              <w:sz w:val="20"/>
              <w:szCs w:val="20"/>
            </w:rPr>
          </w:pPr>
          <w:r>
            <w:rPr>
              <w:rFonts w:eastAsia="Arial" w:cs="Arial" w:ascii="Arial" w:hAnsi="Arial"/>
              <w:b/>
              <w:color w:val="365F91"/>
              <w:sz w:val="20"/>
              <w:szCs w:val="20"/>
            </w:rPr>
            <w:t xml:space="preserve">СДРУЖЕНИЕ ЗА ИЗСЛЕДОВАТЕЛСКИ ПРАКТИКИ </w:t>
          </w:r>
        </w:p>
        <w:p>
          <w:pPr>
            <w:pStyle w:val="Normal"/>
            <w:pBdr/>
            <w:spacing w:lineRule="auto" w:line="240" w:before="0" w:after="0"/>
            <w:rPr>
              <w:rFonts w:ascii="Arial" w:hAnsi="Arial" w:eastAsia="Arial" w:cs="Arial"/>
              <w:b/>
              <w:b/>
              <w:i/>
              <w:i/>
              <w:color w:val="336699"/>
              <w:sz w:val="20"/>
              <w:szCs w:val="20"/>
            </w:rPr>
          </w:pPr>
          <w:r>
            <w:rPr>
              <w:rFonts w:eastAsia="Arial" w:cs="Arial" w:ascii="Arial" w:hAnsi="Arial"/>
              <w:b/>
              <w:i/>
              <w:color w:val="365F91"/>
              <w:sz w:val="20"/>
              <w:szCs w:val="20"/>
            </w:rPr>
            <w:t xml:space="preserve">проект </w:t>
          </w:r>
          <w:r>
            <w:rPr>
              <w:rFonts w:eastAsia="Arial" w:cs="Arial" w:ascii="Arial" w:hAnsi="Arial"/>
              <w:b/>
              <w:i/>
              <w:color w:val="336699"/>
              <w:sz w:val="20"/>
              <w:szCs w:val="20"/>
            </w:rPr>
            <w:t>“Граждани и експерти за прилагане на зелените закони“</w:t>
          </w:r>
        </w:p>
        <w:p>
          <w:pPr>
            <w:pStyle w:val="Normal"/>
            <w:pBdr/>
            <w:spacing w:lineRule="auto" w:line="240" w:before="0" w:after="0"/>
            <w:rPr/>
          </w:pPr>
          <w:r>
            <w:rPr>
              <w:rFonts w:eastAsia="Arial" w:cs="Arial" w:ascii="Arial" w:hAnsi="Arial"/>
              <w:i/>
              <w:color w:val="1F4E79"/>
              <w:sz w:val="20"/>
              <w:szCs w:val="20"/>
            </w:rPr>
            <w:t xml:space="preserve">+359 885989593, </w:t>
          </w:r>
          <w:hyperlink r:id="rId2">
            <w:r>
              <w:rPr>
                <w:rStyle w:val="ListLabel28"/>
                <w:rFonts w:eastAsia="Arial" w:cs="Arial" w:ascii="Arial" w:hAnsi="Arial"/>
                <w:i/>
                <w:color w:val="336699"/>
                <w:sz w:val="20"/>
                <w:szCs w:val="20"/>
              </w:rPr>
              <w:t>sip.bulgaria@gmail.com</w:t>
            </w:r>
          </w:hyperlink>
          <w:r>
            <w:rPr>
              <w:rFonts w:eastAsia="Arial" w:cs="Arial" w:ascii="Arial" w:hAnsi="Arial"/>
              <w:i/>
              <w:color w:val="1F4E79"/>
              <w:sz w:val="20"/>
              <w:szCs w:val="20"/>
            </w:rPr>
            <w:t xml:space="preserve">, </w:t>
          </w:r>
          <w:hyperlink r:id="rId3">
            <w:r>
              <w:rPr>
                <w:rStyle w:val="ListLabel29"/>
                <w:rFonts w:eastAsia="Arial" w:cs="Arial" w:ascii="Arial" w:hAnsi="Arial"/>
                <w:i/>
                <w:color w:val="336699"/>
                <w:sz w:val="20"/>
                <w:szCs w:val="20"/>
                <w:u w:val="single"/>
              </w:rPr>
              <w:drawing>
                <wp:anchor behindDoc="1" distT="0" distB="0" distL="0" distR="0" simplePos="0" locked="0" layoutInCell="1" allowOverlap="1" relativeHeight="2">
                  <wp:simplePos x="0" y="0"/>
                  <wp:positionH relativeFrom="column">
                    <wp:posOffset>822960</wp:posOffset>
                  </wp:positionH>
                  <wp:positionV relativeFrom="paragraph">
                    <wp:posOffset>-957580</wp:posOffset>
                  </wp:positionV>
                  <wp:extent cx="1033780" cy="504825"/>
                  <wp:effectExtent l="0" t="0" r="0" b="0"/>
                  <wp:wrapTopAndBottom/>
                  <wp:docPr id="2" name="image1.jpg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g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-25" t="-51" r="-25" b="-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780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hyperlink>
          <w:r>
            <w:rPr>
              <w:rStyle w:val="ListLabel29"/>
              <w:rFonts w:eastAsia="Arial" w:cs="Arial" w:ascii="Arial" w:hAnsi="Arial"/>
              <w:i/>
              <w:color w:val="336699"/>
              <w:sz w:val="20"/>
              <w:szCs w:val="20"/>
              <w:u w:val="single"/>
            </w:rPr>
            <w:t>www.zelenizakoni.com</w:t>
          </w:r>
        </w:p>
      </w:tc>
    </w:tr>
  </w:tbl>
  <w:p>
    <w:pPr>
      <w:pStyle w:val="Header"/>
      <w:rPr>
        <w:sz w:val="4"/>
        <w:szCs w:val="4"/>
      </w:rPr>
    </w:pPr>
    <w:r>
      <w:rPr>
        <w:sz w:val="4"/>
        <w:szCs w:val="4"/>
      </w:rPr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pBdr/>
      <w:tabs>
        <w:tab w:val="center" w:pos="4680" w:leader="none"/>
        <w:tab w:val="right" w:pos="9360" w:leader="none"/>
      </w:tabs>
      <w:spacing w:before="0" w:after="0"/>
      <w:jc w:val="right"/>
      <w:rPr>
        <w:b/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 xml:space="preserve"> 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isplayBackgroundShape/>
  <w:defaultTabStop w:val="720"/>
  <w:footnotePr>
    <w:numFmt w:val="decimal"/>
    <w:footnote w:id="0"/>
    <w:footnote w:id="1"/>
  </w:footnotePr>
  <w:compat/>
  <w:themeFontLang w:val="en-GB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bg-BG" w:eastAsia="bg-BG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27d27"/>
    <w:pPr>
      <w:widowControl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val="bg-BG" w:eastAsia="bg-BG" w:bidi="ar-SA"/>
    </w:rPr>
  </w:style>
  <w:style w:type="paragraph" w:styleId="Heading1">
    <w:name w:val="Heading 1"/>
    <w:basedOn w:val="Normal"/>
    <w:qFormat/>
    <w:rsid w:val="00227d27"/>
    <w:pPr>
      <w:spacing w:lineRule="auto" w:line="240" w:before="280" w:after="280"/>
      <w:outlineLvl w:val="0"/>
    </w:pPr>
    <w:rPr>
      <w:rFonts w:ascii="Times New Roman" w:hAnsi="Times New Roman" w:eastAsia="Times New Roman" w:cs="Times New Roman"/>
      <w:b/>
      <w:sz w:val="48"/>
      <w:szCs w:val="48"/>
    </w:rPr>
  </w:style>
  <w:style w:type="paragraph" w:styleId="Heading2">
    <w:name w:val="Heading 2"/>
    <w:basedOn w:val="Normal"/>
    <w:qFormat/>
    <w:rsid w:val="00227d27"/>
    <w:pPr>
      <w:keepNext w:val="true"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qFormat/>
    <w:rsid w:val="00227d27"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qFormat/>
    <w:rsid w:val="00227d27"/>
    <w:pPr>
      <w:keepNext w:val="true"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qFormat/>
    <w:rsid w:val="00227d27"/>
    <w:pPr>
      <w:keepNext w:val="true"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qFormat/>
    <w:rsid w:val="00227d27"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8" w:customStyle="1">
    <w:name w:val="Изнесен текст Знак"/>
    <w:basedOn w:val="DefaultParagraphFont"/>
    <w:link w:val="a6"/>
    <w:uiPriority w:val="99"/>
    <w:semiHidden/>
    <w:qFormat/>
    <w:rsid w:val="00b52d43"/>
    <w:rPr>
      <w:rFonts w:ascii="Tahoma" w:hAnsi="Tahoma" w:cs="Tahoma"/>
      <w:sz w:val="16"/>
      <w:szCs w:val="16"/>
    </w:rPr>
  </w:style>
  <w:style w:type="character" w:styleId="Style9" w:customStyle="1">
    <w:name w:val="Горен колонтитул Знак"/>
    <w:basedOn w:val="DefaultParagraphFont"/>
    <w:link w:val="a8"/>
    <w:uiPriority w:val="99"/>
    <w:qFormat/>
    <w:rsid w:val="00b52d43"/>
    <w:rPr/>
  </w:style>
  <w:style w:type="character" w:styleId="Style10" w:customStyle="1">
    <w:name w:val="Долен колонтитул Знак"/>
    <w:basedOn w:val="DefaultParagraphFont"/>
    <w:link w:val="aa"/>
    <w:uiPriority w:val="99"/>
    <w:qFormat/>
    <w:rsid w:val="00b52d43"/>
    <w:rPr/>
  </w:style>
  <w:style w:type="character" w:styleId="InternetLink">
    <w:name w:val="Internet Link"/>
    <w:uiPriority w:val="99"/>
    <w:rsid w:val="00085a6e"/>
    <w:rPr>
      <w:color w:val="0000FF"/>
      <w:u w:val="single"/>
    </w:rPr>
  </w:style>
  <w:style w:type="character" w:styleId="Strong">
    <w:name w:val="Strong"/>
    <w:uiPriority w:val="22"/>
    <w:qFormat/>
    <w:rsid w:val="00085a6e"/>
    <w:rPr>
      <w:b/>
      <w:bCs/>
    </w:rPr>
  </w:style>
  <w:style w:type="character" w:styleId="Acopre" w:customStyle="1">
    <w:name w:val="acopre"/>
    <w:basedOn w:val="DefaultParagraphFont"/>
    <w:qFormat/>
    <w:rsid w:val="00085a6e"/>
    <w:rPr/>
  </w:style>
  <w:style w:type="character" w:styleId="Emphasis">
    <w:name w:val="Emphasis"/>
    <w:basedOn w:val="DefaultParagraphFont"/>
    <w:uiPriority w:val="20"/>
    <w:qFormat/>
    <w:rsid w:val="00085a6e"/>
    <w:rPr>
      <w:i/>
      <w:iCs/>
    </w:rPr>
  </w:style>
  <w:style w:type="character" w:styleId="Style11" w:customStyle="1">
    <w:name w:val="Текст под линия Знак"/>
    <w:basedOn w:val="DefaultParagraphFont"/>
    <w:link w:val="af0"/>
    <w:uiPriority w:val="99"/>
    <w:semiHidden/>
    <w:qFormat/>
    <w:rsid w:val="003717c4"/>
    <w:rPr>
      <w:sz w:val="20"/>
      <w:szCs w:val="20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3717c4"/>
    <w:rPr>
      <w:vertAlign w:val="superscript"/>
    </w:rPr>
  </w:style>
  <w:style w:type="character" w:styleId="FootnoteAnchor">
    <w:name w:val="Footnote Anchor"/>
    <w:rPr>
      <w:vertAlign w:val="superscript"/>
    </w:rPr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eastAsia="Noto Sans Symbols" w:cs="Noto Sans Symbols"/>
    </w:rPr>
  </w:style>
  <w:style w:type="character" w:styleId="ListLabel8">
    <w:name w:val="ListLabel 8"/>
    <w:qFormat/>
    <w:rPr>
      <w:rFonts w:eastAsia="Courier New" w:cs="Courier New"/>
    </w:rPr>
  </w:style>
  <w:style w:type="character" w:styleId="ListLabel9">
    <w:name w:val="ListLabel 9"/>
    <w:qFormat/>
    <w:rPr>
      <w:rFonts w:eastAsia="Noto Sans Symbols" w:cs="Noto Sans Symbols"/>
    </w:rPr>
  </w:style>
  <w:style w:type="character" w:styleId="ListLabel10">
    <w:name w:val="ListLabel 10"/>
    <w:qFormat/>
    <w:rPr>
      <w:rFonts w:eastAsia="Noto Sans Symbols" w:cs="Noto Sans Symbols"/>
    </w:rPr>
  </w:style>
  <w:style w:type="character" w:styleId="ListLabel11">
    <w:name w:val="ListLabel 11"/>
    <w:qFormat/>
    <w:rPr>
      <w:rFonts w:eastAsia="Courier New" w:cs="Courier New"/>
    </w:rPr>
  </w:style>
  <w:style w:type="character" w:styleId="ListLabel12">
    <w:name w:val="ListLabel 12"/>
    <w:qFormat/>
    <w:rPr>
      <w:rFonts w:eastAsia="Noto Sans Symbols" w:cs="Noto Sans Symbols"/>
    </w:rPr>
  </w:style>
  <w:style w:type="character" w:styleId="ListLabel13">
    <w:name w:val="ListLabel 13"/>
    <w:qFormat/>
    <w:rPr>
      <w:rFonts w:eastAsia="Noto Sans Symbols" w:cs="Noto Sans Symbols"/>
    </w:rPr>
  </w:style>
  <w:style w:type="character" w:styleId="ListLabel14">
    <w:name w:val="ListLabel 14"/>
    <w:qFormat/>
    <w:rPr>
      <w:rFonts w:eastAsia="Courier New" w:cs="Courier New"/>
    </w:rPr>
  </w:style>
  <w:style w:type="character" w:styleId="ListLabel15">
    <w:name w:val="ListLabel 15"/>
    <w:qFormat/>
    <w:rPr>
      <w:rFonts w:eastAsia="Noto Sans Symbols" w:cs="Noto Sans Symbols"/>
    </w:rPr>
  </w:style>
  <w:style w:type="character" w:styleId="ListLabel16">
    <w:name w:val="ListLabel 16"/>
    <w:qFormat/>
    <w:rPr>
      <w:rFonts w:eastAsia="Noto Sans Symbols" w:cs="Noto Sans Symbols"/>
    </w:rPr>
  </w:style>
  <w:style w:type="character" w:styleId="ListLabel17">
    <w:name w:val="ListLabel 17"/>
    <w:qFormat/>
    <w:rPr>
      <w:rFonts w:eastAsia="Courier New" w:cs="Courier New"/>
    </w:rPr>
  </w:style>
  <w:style w:type="character" w:styleId="ListLabel18">
    <w:name w:val="ListLabel 18"/>
    <w:qFormat/>
    <w:rPr>
      <w:rFonts w:eastAsia="Noto Sans Symbols" w:cs="Noto Sans Symbols"/>
    </w:rPr>
  </w:style>
  <w:style w:type="character" w:styleId="ListLabel19">
    <w:name w:val="ListLabel 19"/>
    <w:qFormat/>
    <w:rPr>
      <w:rFonts w:eastAsia="Noto Sans Symbols" w:cs="Noto Sans Symbols"/>
    </w:rPr>
  </w:style>
  <w:style w:type="character" w:styleId="ListLabel20">
    <w:name w:val="ListLabel 20"/>
    <w:qFormat/>
    <w:rPr>
      <w:rFonts w:eastAsia="Courier New" w:cs="Courier New"/>
    </w:rPr>
  </w:style>
  <w:style w:type="character" w:styleId="ListLabel21">
    <w:name w:val="ListLabel 21"/>
    <w:qFormat/>
    <w:rPr>
      <w:rFonts w:eastAsia="Noto Sans Symbols" w:cs="Noto Sans Symbols"/>
    </w:rPr>
  </w:style>
  <w:style w:type="character" w:styleId="ListLabel22">
    <w:name w:val="ListLabel 22"/>
    <w:qFormat/>
    <w:rPr>
      <w:rFonts w:eastAsia="Noto Sans Symbols" w:cs="Noto Sans Symbols"/>
    </w:rPr>
  </w:style>
  <w:style w:type="character" w:styleId="ListLabel23">
    <w:name w:val="ListLabel 23"/>
    <w:qFormat/>
    <w:rPr>
      <w:rFonts w:eastAsia="Courier New" w:cs="Courier New"/>
    </w:rPr>
  </w:style>
  <w:style w:type="character" w:styleId="ListLabel24">
    <w:name w:val="ListLabel 24"/>
    <w:qFormat/>
    <w:rPr>
      <w:rFonts w:eastAsia="Noto Sans Symbols" w:cs="Noto Sans Symbols"/>
    </w:rPr>
  </w:style>
  <w:style w:type="character" w:styleId="ListLabel25">
    <w:name w:val="ListLabel 25"/>
    <w:qFormat/>
    <w:rPr>
      <w:rFonts w:cs=""/>
      <w:sz w:val="24"/>
    </w:rPr>
  </w:style>
  <w:style w:type="character" w:styleId="ListLabel26">
    <w:name w:val="ListLabel 26"/>
    <w:qFormat/>
    <w:rPr>
      <w:sz w:val="24"/>
      <w:szCs w:val="24"/>
    </w:rPr>
  </w:style>
  <w:style w:type="character" w:styleId="ListLabel27">
    <w:name w:val="ListLabel 27"/>
    <w:qFormat/>
    <w:rPr>
      <w:bCs/>
      <w:color w:val="auto"/>
      <w:sz w:val="24"/>
      <w:szCs w:val="24"/>
    </w:rPr>
  </w:style>
  <w:style w:type="character" w:styleId="ListLabel28">
    <w:name w:val="ListLabel 28"/>
    <w:qFormat/>
    <w:rPr>
      <w:rFonts w:ascii="Arial" w:hAnsi="Arial" w:eastAsia="Arial" w:cs="Arial"/>
      <w:i/>
      <w:color w:val="336699"/>
      <w:sz w:val="20"/>
      <w:szCs w:val="20"/>
    </w:rPr>
  </w:style>
  <w:style w:type="character" w:styleId="ListLabel29">
    <w:name w:val="ListLabel 29"/>
    <w:qFormat/>
    <w:rPr>
      <w:rFonts w:ascii="Arial" w:hAnsi="Arial" w:eastAsia="Arial" w:cs="Arial"/>
      <w:i/>
      <w:color w:val="336699"/>
      <w:sz w:val="20"/>
      <w:szCs w:val="20"/>
      <w:u w:val="single"/>
    </w:rPr>
  </w:style>
  <w:style w:type="character" w:styleId="EndnoteAnchor">
    <w:name w:val="Endnote Anchor"/>
    <w:rPr>
      <w:vertAlign w:val="superscript"/>
    </w:rPr>
  </w:style>
  <w:style w:type="character" w:styleId="EndnoteCharacters">
    <w:name w:val="Endnote Characters"/>
    <w:qFormat/>
    <w:rPr/>
  </w:style>
  <w:style w:type="character" w:styleId="NumberingSymbols">
    <w:name w:val="Numbering Symbols"/>
    <w:qFormat/>
    <w:rPr/>
  </w:style>
  <w:style w:type="character" w:styleId="VisitedInternetLink">
    <w:name w:val="Visited Internet Link"/>
    <w:rPr>
      <w:color w:val="80000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 Regular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qFormat/>
    <w:rsid w:val="00227d27"/>
    <w:pPr>
      <w:keepNext w:val="true"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qFormat/>
    <w:rsid w:val="00227d27"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a7"/>
    <w:uiPriority w:val="99"/>
    <w:semiHidden/>
    <w:unhideWhenUsed/>
    <w:qFormat/>
    <w:rsid w:val="00b52d43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a9"/>
    <w:uiPriority w:val="99"/>
    <w:unhideWhenUsed/>
    <w:rsid w:val="00b52d43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ab"/>
    <w:uiPriority w:val="99"/>
    <w:unhideWhenUsed/>
    <w:rsid w:val="00b52d43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283791"/>
    <w:pPr>
      <w:spacing w:before="0" w:after="200"/>
      <w:ind w:left="720" w:hanging="0"/>
      <w:contextualSpacing/>
    </w:pPr>
    <w:rPr/>
  </w:style>
  <w:style w:type="paragraph" w:styleId="Footnote">
    <w:name w:val="Footnote Text"/>
    <w:basedOn w:val="Normal"/>
    <w:link w:val="af1"/>
    <w:uiPriority w:val="99"/>
    <w:semiHidden/>
    <w:unhideWhenUsed/>
    <w:rsid w:val="003717c4"/>
    <w:pPr>
      <w:spacing w:lineRule="auto" w:line="240" w:before="0" w:after="0"/>
    </w:pPr>
    <w:rPr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  <w:rsid w:val="00c03909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val="en-GB" w:eastAsia="en-GB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rsid w:val="00227d27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header" Target="header2.xml"/><Relationship Id="rId5" Type="http://schemas.openxmlformats.org/officeDocument/2006/relationships/footer" Target="footer2.xml"/><Relationship Id="rId6" Type="http://schemas.openxmlformats.org/officeDocument/2006/relationships/footnotes" Target="footnotes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http://www.activecitizensfund.bg/" TargetMode="External"/>
</Relationships>
</file>

<file path=word/_rels/footnotes.xml.rels><?xml version="1.0" encoding="UTF-8"?>
<Relationships xmlns="http://schemas.openxmlformats.org/package/2006/relationships"><Relationship Id="rId1" Type="http://schemas.openxmlformats.org/officeDocument/2006/relationships/hyperlink" Target="http://2020.eufunds.bg/bg/6/0/Project/Activities?contractId=VvFqysxSTNE%3D&amp;isHistoric=False" TargetMode="External"/><Relationship Id="rId2" Type="http://schemas.openxmlformats.org/officeDocument/2006/relationships/hyperlink" Target="" TargetMode="External"/><Relationship Id="rId3" Type="http://schemas.openxmlformats.org/officeDocument/2006/relationships/hyperlink" Target="http://2020.eufunds.bg/bg/6/0/Project/Activities?contractId=UWvOZhWYQSA%3D&amp;isHistoric=False" TargetMode="External"/><Relationship Id="rId4" Type="http://schemas.openxmlformats.org/officeDocument/2006/relationships/hyperlink" Target="" TargetMode="External"/><Relationship Id="rId5" Type="http://schemas.openxmlformats.org/officeDocument/2006/relationships/hyperlink" Target="http://natura2000.moew.government.bg/Home/ProtectedSite?code=BG0000495&amp;siteType=HabitatDirective" TargetMode="External"/><Relationship Id="rId6" Type="http://schemas.openxmlformats.org/officeDocument/2006/relationships/hyperlink" Target="" TargetMode="External"/><Relationship Id="rId7" Type="http://schemas.openxmlformats.org/officeDocument/2006/relationships/hyperlink" Target="http://2020.eufunds.bg/bg/6/0/Project/Activities?contractId=os9FVdXOc0w%3D&amp;isHistoric=False" TargetMode="External"/><Relationship Id="rId8" Type="http://schemas.openxmlformats.org/officeDocument/2006/relationships/hyperlink" Target="" TargetMode="External"/><Relationship Id="rId9" Type="http://schemas.openxmlformats.org/officeDocument/2006/relationships/hyperlink" Target="http://2020.eufunds.bg/bg/6/0/Project/Activities?contractId=os9FVdXOc0w%3D&amp;isHistoric=False" TargetMode="External"/><Relationship Id="rId10" Type="http://schemas.openxmlformats.org/officeDocument/2006/relationships/hyperlink" Target="" TargetMode="External"/><Relationship Id="rId11" Type="http://schemas.openxmlformats.org/officeDocument/2006/relationships/hyperlink" Target="https://www.semanticscholar.org/paper/The-future-of-submeasure-&#8220;Pastoralism&#8221;-of-Measure-Gussev-Tzonev/6f0bbc6bd4f8e1c91514a52bd65608b40bcf6381" TargetMode="External"/><Relationship Id="rId12" Type="http://schemas.openxmlformats.org/officeDocument/2006/relationships/hyperlink" Target="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hyperlink" Target="mailto:Sip.bulgaria@gmail.com" TargetMode="External"/><Relationship Id="rId3" Type="http://schemas.openxmlformats.org/officeDocument/2006/relationships/hyperlink" Target="http://www.zelenizakoni.com/" TargetMode="External"/><Relationship Id="rId4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AA45F-2C35-4D12-840A-59FABD796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Application>LibreOffice/6.0.7.3$Linux_X86_64 LibreOffice_project/00m0$Build-3</Application>
  <Pages>5</Pages>
  <Words>1636</Words>
  <Characters>10661</Characters>
  <CharactersWithSpaces>12281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2022-02-07T13:35:00Z</dcterms:created>
  <dc:creator>Vera</dc:creator>
  <dc:description/>
  <dc:language>en-US</dc:language>
  <cp:lastModifiedBy/>
  <cp:lastPrinted>2022-02-07T16:00:28Z</cp:lastPrinted>
  <dcterms:modified xsi:type="dcterms:W3CDTF">2022-02-07T16:08:32Z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